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AB442" w14:textId="77777777" w:rsidR="00CD5A02" w:rsidRDefault="00CD5A02" w:rsidP="00CD5A02">
      <w:pPr>
        <w:pStyle w:val="xmsonormal"/>
      </w:pPr>
      <w:r>
        <w:rPr>
          <w:sz w:val="24"/>
          <w:szCs w:val="24"/>
        </w:rPr>
        <w:t>January 2026</w:t>
      </w:r>
    </w:p>
    <w:p w14:paraId="09E1F310" w14:textId="77777777" w:rsidR="00CD5A02" w:rsidRDefault="00CD5A02" w:rsidP="00CD5A02">
      <w:pPr>
        <w:pStyle w:val="xmsonormal"/>
      </w:pPr>
      <w:r>
        <w:rPr>
          <w:b/>
          <w:bCs/>
          <w:sz w:val="48"/>
          <w:szCs w:val="48"/>
        </w:rPr>
        <w:t>Press Release</w:t>
      </w:r>
    </w:p>
    <w:p w14:paraId="3C36714D" w14:textId="77777777" w:rsidR="00CD5A02" w:rsidRDefault="00CD5A02" w:rsidP="00CD5A02">
      <w:pPr>
        <w:pStyle w:val="xmsonormal"/>
      </w:pPr>
      <w:r>
        <w:rPr>
          <w:b/>
          <w:bCs/>
          <w:sz w:val="36"/>
          <w:szCs w:val="36"/>
        </w:rPr>
        <w:t>DELIVER moves into Delivery mode in Heidelberg</w:t>
      </w:r>
    </w:p>
    <w:p w14:paraId="0FA56232" w14:textId="77777777" w:rsidR="00CD5A02" w:rsidRDefault="00CD5A02" w:rsidP="00CD5A02">
      <w:pPr>
        <w:spacing w:before="100" w:beforeAutospacing="1" w:after="100" w:afterAutospacing="1"/>
      </w:pPr>
      <w:r>
        <w:t>In January 2026, DELIVER partners from across Europe gathered in Heidelberg, Germany, for a five-day participatory workshop hosted by Heidelberg University Hospital. The meeting marked an important milestone for the project, bringing together findings from across the consortium and strengthening the pathway from research to practical implementation.</w:t>
      </w:r>
    </w:p>
    <w:p w14:paraId="56B4CA71" w14:textId="77777777" w:rsidR="00CD5A02" w:rsidRDefault="00CD5A02" w:rsidP="00CD5A02">
      <w:pPr>
        <w:spacing w:before="100" w:beforeAutospacing="1" w:after="100" w:afterAutospacing="1"/>
      </w:pPr>
      <w:r>
        <w:t>A central focus of the workshop was the development of the DELIVER Quality Improvement Toolkit. Michael Lorenz and Valeska Fehrer of Heidelberg University Hospital led discussions on quality indicators, monitoring frameworks and the structure needed to connect the project’s different tools and resources.</w:t>
      </w:r>
    </w:p>
    <w:p w14:paraId="70C72651" w14:textId="77777777" w:rsidR="00CD5A02" w:rsidRDefault="00CD5A02" w:rsidP="00CD5A02">
      <w:pPr>
        <w:spacing w:before="100" w:beforeAutospacing="1" w:after="100" w:afterAutospacing="1"/>
      </w:pPr>
      <w:r>
        <w:t>Partners also explored how Patient-Reported Outcome Measures and Patient-Reported Experience Measures, known as PROMs and PREMs, can support quality improvement in dental practices. Matthew Byrne and Matthew Hanchard of the University of Manchester, together with Valeska Fehrer, discussed the practical use and ongoing evaluation of the DELIVER PROMs and PREMs dashboard. Jeanette Norman of Karolinska Institutet and Matthew Hanchard also presented evidence on the use of mobile devices to support oral health improvement among people living with diabetes.</w:t>
      </w:r>
    </w:p>
    <w:p w14:paraId="2315E664" w14:textId="77777777" w:rsidR="00CD5A02" w:rsidRDefault="00CD5A02" w:rsidP="00CD5A02">
      <w:pPr>
        <w:spacing w:before="100" w:beforeAutospacing="1" w:after="100" w:afterAutospacing="1"/>
      </w:pPr>
      <w:r>
        <w:t>Equity and accessibility remained central throughout the week. Kasper Rosing of the University of Copenhagen led sessions on community-based quality improvement for vulnerable groups, highlighting the need for tools that are evidence-informed while remaining adaptable to different populations and local contexts.</w:t>
      </w:r>
    </w:p>
    <w:p w14:paraId="1A3452A3" w14:textId="77777777" w:rsidR="00CD5A02" w:rsidRDefault="00CD5A02" w:rsidP="00CD5A02">
      <w:pPr>
        <w:spacing w:before="100" w:beforeAutospacing="1" w:after="100" w:afterAutospacing="1"/>
      </w:pPr>
      <w:r>
        <w:t>The workshop also examined the wider conditions required for sustainable implementation. Julian Eigendorf and Fabian Kliemannel of the aQua Institute presented options for integrating quality indicators, PROMs and PREMs into outpatient care and the DELIVER digital one-stop shop. Olenka Van Ardenne of Lygature discussed the regulatory determinants of quality improvement and the importance of integrating oral healthcare within broader health systems.</w:t>
      </w:r>
    </w:p>
    <w:p w14:paraId="6452F58E" w14:textId="77777777" w:rsidR="00CD5A02" w:rsidRDefault="00CD5A02" w:rsidP="00CD5A02">
      <w:pPr>
        <w:spacing w:before="100" w:beforeAutospacing="1" w:after="100" w:afterAutospacing="1"/>
      </w:pPr>
      <w:r>
        <w:t>During the workshop’s Booster phase, led by Dr Paula Vassallo of the Malta Ministry for Health, partners reviewed DELIVER’s Key Exploitable Results and considered pathways for impact, sustainability and dissemination. The workshop also included stakeholder sessions with policymakers, representatives from academia and oral healthcare providers. Their feedback highlighted the need for clear and accessible resources, the potential for DELIVER materials to support professional training and lifelong learning, and the importance of trusted and responsible approaches to feedback and data use.</w:t>
      </w:r>
    </w:p>
    <w:p w14:paraId="5DA32738" w14:textId="77777777" w:rsidR="00CD5A02" w:rsidRDefault="00CD5A02" w:rsidP="00CD5A02">
      <w:pPr>
        <w:spacing w:before="100" w:beforeAutospacing="1" w:after="100" w:afterAutospacing="1"/>
      </w:pPr>
      <w:r>
        <w:t xml:space="preserve">The final sessions focused on translating the week’s discussions into concrete actions. Partners aligned responsibilities, planned dissemination activities and continued </w:t>
      </w:r>
      <w:r>
        <w:lastRenderedPageBreak/>
        <w:t>preparations for the DELIVER online launch and European closing event planned for June 2026.</w:t>
      </w:r>
    </w:p>
    <w:p w14:paraId="572478FE" w14:textId="77777777" w:rsidR="00CD5A02" w:rsidRDefault="00CD5A02" w:rsidP="00CD5A02">
      <w:pPr>
        <w:spacing w:before="100" w:beforeAutospacing="1" w:after="100" w:afterAutospacing="1"/>
      </w:pPr>
      <w:r>
        <w:t>“The Heidelberg workshop brought the consortium’s work together into one shared and practical vision. It strengthened the route from evidence to implementation and reinforced our commitment to improving oral health and quality of care across Europe,” said Dr Paula Vassallo, Dissemination Lead for the DELIVER Project.</w:t>
      </w:r>
    </w:p>
    <w:p w14:paraId="2D428676" w14:textId="77777777" w:rsidR="00CD5A02" w:rsidRDefault="00CD5A02" w:rsidP="00CD5A02">
      <w:pPr>
        <w:spacing w:before="100" w:beforeAutospacing="1" w:after="100" w:afterAutospacing="1"/>
      </w:pPr>
      <w:r>
        <w:rPr>
          <w:b/>
          <w:bCs/>
        </w:rPr>
        <w:t>Dr Paula Vassallo</w:t>
      </w:r>
      <w:r>
        <w:br/>
        <w:t>Dissemination Lead, DELIVER Project</w:t>
      </w:r>
    </w:p>
    <w:p w14:paraId="6C2D1CB4" w14:textId="77777777" w:rsidR="00CD5A02" w:rsidRDefault="00CD5A02" w:rsidP="00CD5A02">
      <w:pPr>
        <w:spacing w:before="100" w:beforeAutospacing="1" w:after="100" w:afterAutospacing="1"/>
        <w:rPr>
          <w:b/>
          <w:bCs/>
          <w:sz w:val="27"/>
          <w:szCs w:val="27"/>
        </w:rPr>
      </w:pPr>
      <w:r>
        <w:rPr>
          <w:b/>
          <w:bCs/>
          <w:sz w:val="27"/>
          <w:szCs w:val="27"/>
        </w:rPr>
        <w:t>Additional Information: About the DELIVER Project</w:t>
      </w:r>
    </w:p>
    <w:p w14:paraId="19B31C4E" w14:textId="77777777" w:rsidR="00CD5A02" w:rsidRDefault="00CD5A02" w:rsidP="00CD5A02">
      <w:pPr>
        <w:spacing w:before="100" w:beforeAutospacing="1" w:after="100" w:afterAutospacing="1"/>
      </w:pPr>
      <w:r>
        <w:t>Funded by the European Union’s Horizon Europe programme under Grant Agreement No. 101057077, DELIVER brings together academic institutions, healthcare organisations, ministries of health and non-profit organisations to co-create practical tools that strengthen the safety, accessibility and person-centred quality of oral care.</w:t>
      </w:r>
    </w:p>
    <w:p w14:paraId="07519A01" w14:textId="77777777" w:rsidR="00CD5A02" w:rsidRDefault="00CD5A02" w:rsidP="00CD5A02">
      <w:pPr>
        <w:spacing w:before="100" w:beforeAutospacing="1" w:after="100" w:afterAutospacing="1"/>
      </w:pPr>
      <w:hyperlink r:id="rId4" w:tgtFrame="_new" w:history="1">
        <w:r>
          <w:rPr>
            <w:rStyle w:val="Hyperlink"/>
            <w:color w:val="0000FF"/>
          </w:rPr>
          <w:t>https://deliverproject.eu/content-page/home</w:t>
        </w:r>
      </w:hyperlink>
    </w:p>
    <w:p w14:paraId="608DDEA5" w14:textId="77777777" w:rsidR="00CD5A02" w:rsidRDefault="00CD5A02" w:rsidP="00CD5A02">
      <w:pPr>
        <w:spacing w:before="100" w:beforeAutospacing="1" w:after="100" w:afterAutospacing="1"/>
      </w:pPr>
      <w:hyperlink r:id="rId5" w:tgtFrame="_new" w:history="1">
        <w:r>
          <w:rPr>
            <w:rStyle w:val="Hyperlink"/>
            <w:color w:val="0000FF"/>
          </w:rPr>
          <w:t>https://cordis.europa.eu/project/id/101057077</w:t>
        </w:r>
      </w:hyperlink>
    </w:p>
    <w:p w14:paraId="5ACC41C4" w14:textId="77777777" w:rsidR="00E94C8E" w:rsidRDefault="00E94C8E"/>
    <w:sectPr w:rsidR="00E94C8E" w:rsidSect="00E864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48C"/>
    <w:rsid w:val="0003548C"/>
    <w:rsid w:val="00407945"/>
    <w:rsid w:val="00415BEE"/>
    <w:rsid w:val="007B47BE"/>
    <w:rsid w:val="00944F5B"/>
    <w:rsid w:val="00B2333A"/>
    <w:rsid w:val="00CD5A02"/>
    <w:rsid w:val="00E86422"/>
    <w:rsid w:val="00E94C8E"/>
  </w:rsids>
  <m:mathPr>
    <m:mathFont m:val="Cambria Math"/>
    <m:brkBin m:val="before"/>
    <m:brkBinSub m:val="--"/>
    <m:smallFrac m:val="0"/>
    <m:dispDef/>
    <m:lMargin m:val="0"/>
    <m:rMargin m:val="0"/>
    <m:defJc m:val="centerGroup"/>
    <m:wrapIndent m:val="1440"/>
    <m:intLim m:val="subSup"/>
    <m:naryLim m:val="undOvr"/>
  </m:mathPr>
  <w:themeFontLang w:val="en-M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89797"/>
  <w15:chartTrackingRefBased/>
  <w15:docId w15:val="{6C8D487C-D69A-4A3F-944B-182221644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A02"/>
    <w:pPr>
      <w:spacing w:after="0" w:line="240" w:lineRule="auto"/>
    </w:pPr>
    <w:rPr>
      <w:rFonts w:ascii="Aptos" w:hAnsi="Aptos" w:cs="Aptos"/>
      <w:sz w:val="24"/>
      <w:szCs w:val="24"/>
      <w:lang w:eastAsia="en-GB"/>
      <w14:ligatures w14:val="none"/>
    </w:rPr>
  </w:style>
  <w:style w:type="paragraph" w:styleId="Heading1">
    <w:name w:val="heading 1"/>
    <w:basedOn w:val="Normal"/>
    <w:next w:val="Normal"/>
    <w:link w:val="Heading1Char"/>
    <w:uiPriority w:val="9"/>
    <w:qFormat/>
    <w:rsid w:val="0003548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03548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03548C"/>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03548C"/>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03548C"/>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03548C"/>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03548C"/>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03548C"/>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03548C"/>
    <w:pPr>
      <w:keepNext/>
      <w:keepLines/>
      <w:spacing w:line="259" w:lineRule="auto"/>
      <w:outlineLvl w:val="8"/>
    </w:pPr>
    <w:rPr>
      <w:rFonts w:asciiTheme="minorHAnsi" w:eastAsiaTheme="majorEastAsia" w:hAnsiTheme="minorHAnsi" w:cstheme="majorBidi"/>
      <w:color w:val="272727" w:themeColor="text1" w:themeTint="D8"/>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4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54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54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54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54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54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54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54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548C"/>
    <w:rPr>
      <w:rFonts w:eastAsiaTheme="majorEastAsia" w:cstheme="majorBidi"/>
      <w:color w:val="272727" w:themeColor="text1" w:themeTint="D8"/>
    </w:rPr>
  </w:style>
  <w:style w:type="paragraph" w:styleId="Title">
    <w:name w:val="Title"/>
    <w:basedOn w:val="Normal"/>
    <w:next w:val="Normal"/>
    <w:link w:val="TitleChar"/>
    <w:uiPriority w:val="10"/>
    <w:qFormat/>
    <w:rsid w:val="0003548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354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548C"/>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0354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548C"/>
    <w:pPr>
      <w:spacing w:before="160" w:after="160" w:line="259" w:lineRule="auto"/>
      <w:jc w:val="center"/>
    </w:pPr>
    <w:rPr>
      <w:rFonts w:asciiTheme="minorHAnsi" w:hAnsiTheme="minorHAnsi" w:cstheme="minorBidi"/>
      <w:i/>
      <w:iCs/>
      <w:color w:val="404040" w:themeColor="text1" w:themeTint="BF"/>
      <w:sz w:val="22"/>
      <w:szCs w:val="22"/>
      <w:lang w:eastAsia="en-US"/>
      <w14:ligatures w14:val="standardContextual"/>
    </w:rPr>
  </w:style>
  <w:style w:type="character" w:customStyle="1" w:styleId="QuoteChar">
    <w:name w:val="Quote Char"/>
    <w:basedOn w:val="DefaultParagraphFont"/>
    <w:link w:val="Quote"/>
    <w:uiPriority w:val="29"/>
    <w:rsid w:val="0003548C"/>
    <w:rPr>
      <w:i/>
      <w:iCs/>
      <w:color w:val="404040" w:themeColor="text1" w:themeTint="BF"/>
    </w:rPr>
  </w:style>
  <w:style w:type="paragraph" w:styleId="ListParagraph">
    <w:name w:val="List Paragraph"/>
    <w:basedOn w:val="Normal"/>
    <w:uiPriority w:val="34"/>
    <w:qFormat/>
    <w:rsid w:val="0003548C"/>
    <w:pPr>
      <w:spacing w:after="160" w:line="259" w:lineRule="auto"/>
      <w:ind w:left="720"/>
      <w:contextualSpacing/>
    </w:pPr>
    <w:rPr>
      <w:rFonts w:asciiTheme="minorHAnsi" w:hAnsiTheme="minorHAnsi" w:cstheme="minorBidi"/>
      <w:sz w:val="22"/>
      <w:szCs w:val="22"/>
      <w:lang w:eastAsia="en-US"/>
      <w14:ligatures w14:val="standardContextual"/>
    </w:rPr>
  </w:style>
  <w:style w:type="character" w:styleId="IntenseEmphasis">
    <w:name w:val="Intense Emphasis"/>
    <w:basedOn w:val="DefaultParagraphFont"/>
    <w:uiPriority w:val="21"/>
    <w:qFormat/>
    <w:rsid w:val="0003548C"/>
    <w:rPr>
      <w:i/>
      <w:iCs/>
      <w:color w:val="0F4761" w:themeColor="accent1" w:themeShade="BF"/>
    </w:rPr>
  </w:style>
  <w:style w:type="paragraph" w:styleId="IntenseQuote">
    <w:name w:val="Intense Quote"/>
    <w:basedOn w:val="Normal"/>
    <w:next w:val="Normal"/>
    <w:link w:val="IntenseQuoteChar"/>
    <w:uiPriority w:val="30"/>
    <w:qFormat/>
    <w:rsid w:val="0003548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sz w:val="22"/>
      <w:szCs w:val="22"/>
      <w:lang w:eastAsia="en-US"/>
      <w14:ligatures w14:val="standardContextual"/>
    </w:rPr>
  </w:style>
  <w:style w:type="character" w:customStyle="1" w:styleId="IntenseQuoteChar">
    <w:name w:val="Intense Quote Char"/>
    <w:basedOn w:val="DefaultParagraphFont"/>
    <w:link w:val="IntenseQuote"/>
    <w:uiPriority w:val="30"/>
    <w:rsid w:val="0003548C"/>
    <w:rPr>
      <w:i/>
      <w:iCs/>
      <w:color w:val="0F4761" w:themeColor="accent1" w:themeShade="BF"/>
    </w:rPr>
  </w:style>
  <w:style w:type="character" w:styleId="IntenseReference">
    <w:name w:val="Intense Reference"/>
    <w:basedOn w:val="DefaultParagraphFont"/>
    <w:uiPriority w:val="32"/>
    <w:qFormat/>
    <w:rsid w:val="0003548C"/>
    <w:rPr>
      <w:b/>
      <w:bCs/>
      <w:smallCaps/>
      <w:color w:val="0F4761" w:themeColor="accent1" w:themeShade="BF"/>
      <w:spacing w:val="5"/>
    </w:rPr>
  </w:style>
  <w:style w:type="character" w:styleId="Hyperlink">
    <w:name w:val="Hyperlink"/>
    <w:basedOn w:val="DefaultParagraphFont"/>
    <w:uiPriority w:val="99"/>
    <w:semiHidden/>
    <w:unhideWhenUsed/>
    <w:rsid w:val="00CD5A02"/>
    <w:rPr>
      <w:color w:val="467886"/>
      <w:u w:val="single"/>
    </w:rPr>
  </w:style>
  <w:style w:type="paragraph" w:customStyle="1" w:styleId="xmsonormal">
    <w:name w:val="x_msonormal"/>
    <w:basedOn w:val="Normal"/>
    <w:rsid w:val="00CD5A0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ordis.europa.eu/project/id/101057077" TargetMode="External"/><Relationship Id="rId4" Type="http://schemas.openxmlformats.org/officeDocument/2006/relationships/hyperlink" Target="https://deliverproject.eu/content-page/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3314</Characters>
  <Application>Microsoft Office Word</Application>
  <DocSecurity>0</DocSecurity>
  <Lines>27</Lines>
  <Paragraphs>7</Paragraphs>
  <ScaleCrop>false</ScaleCrop>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Clyde Puli</dc:creator>
  <cp:keywords/>
  <dc:description/>
  <cp:lastModifiedBy>Clyde Puli</cp:lastModifiedBy>
  <cp:revision>2</cp:revision>
  <dcterms:created xsi:type="dcterms:W3CDTF">2026-07-30T11:06:00Z</dcterms:created>
  <dcterms:modified xsi:type="dcterms:W3CDTF">2026-07-30T11:06:00Z</dcterms:modified>
</cp:coreProperties>
</file>